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20F" w:rsidRDefault="00C5420F" w:rsidP="00C5420F">
      <w:pPr>
        <w:tabs>
          <w:tab w:val="right" w:pos="3969"/>
          <w:tab w:val="right" w:pos="6237"/>
          <w:tab w:val="right" w:pos="8505"/>
        </w:tabs>
        <w:ind w:left="720" w:hanging="720"/>
      </w:pPr>
      <w:r>
        <w:rPr>
          <w:b/>
        </w:rPr>
        <w:t>Bekanntmachung der Bodenrichtwerte 2024</w:t>
      </w:r>
    </w:p>
    <w:p w:rsidR="00C5420F" w:rsidRDefault="00C5420F" w:rsidP="00C5420F">
      <w:pPr>
        <w:tabs>
          <w:tab w:val="right" w:pos="3969"/>
          <w:tab w:val="right" w:pos="6237"/>
          <w:tab w:val="right" w:pos="8505"/>
        </w:tabs>
        <w:ind w:left="720" w:hanging="720"/>
      </w:pPr>
    </w:p>
    <w:p w:rsidR="00C5420F" w:rsidRDefault="00C5420F" w:rsidP="00C5420F">
      <w:pPr>
        <w:tabs>
          <w:tab w:val="right" w:pos="3969"/>
          <w:tab w:val="right" w:pos="6237"/>
          <w:tab w:val="right" w:pos="8505"/>
        </w:tabs>
        <w:jc w:val="both"/>
      </w:pPr>
      <w:r w:rsidRPr="00037BD4">
        <w:t>Der Gutachterausschuss</w:t>
      </w:r>
      <w:r>
        <w:t xml:space="preserve"> Sindelfingen und Magstadt </w:t>
      </w:r>
      <w:r w:rsidRPr="00037BD4">
        <w:t xml:space="preserve">hat in seiner Sitzung am </w:t>
      </w:r>
      <w:r>
        <w:t>26</w:t>
      </w:r>
      <w:r w:rsidRPr="00037BD4">
        <w:t>.0</w:t>
      </w:r>
      <w:r>
        <w:t>6</w:t>
      </w:r>
      <w:r w:rsidRPr="00037BD4">
        <w:t>.202</w:t>
      </w:r>
      <w:r>
        <w:t>4</w:t>
      </w:r>
      <w:r w:rsidRPr="00037BD4">
        <w:t xml:space="preserve"> für das Gemeindegebiet der Stadt Sindelfingen </w:t>
      </w:r>
      <w:r>
        <w:t xml:space="preserve">und der Gemeinde Magstadt Bodenrichtwerte (durchschnittliche Lagewerte) gemäß § 196 Abs. 1 Baugesetzbuch, Abschnitt 2 Immobilienwertermittlungsverordnung sowie § 12 Gutachterausschussverordnung des Landes auf den Stichtag </w:t>
      </w:r>
      <w:r>
        <w:rPr>
          <w:b/>
        </w:rPr>
        <w:t>01.01.2024</w:t>
      </w:r>
      <w:r>
        <w:t xml:space="preserve"> ermittelt.</w:t>
      </w:r>
    </w:p>
    <w:p w:rsidR="00C5420F" w:rsidRDefault="00C5420F" w:rsidP="00C5420F">
      <w:pPr>
        <w:tabs>
          <w:tab w:val="right" w:pos="3969"/>
          <w:tab w:val="right" w:pos="6237"/>
          <w:tab w:val="right" w:pos="8505"/>
        </w:tabs>
        <w:spacing w:before="120"/>
        <w:jc w:val="both"/>
      </w:pPr>
      <w:r>
        <w:t xml:space="preserve">Die Bodenrichtwerte wurden auf Grund der Kaufpreissammlung und nach den Erfahrungen des Gutachterausschusses auf dem Grundstücksmarkt als durchschnittliche Lagewerte für den Boden unter Berücksichtigung des Entwicklungszustandes und der wertbeeinflussenden Merkmale ermittelt. In bebauten Gebieten sind Bodenrichtwerte mit dem Wert ermittelt, der sich ergeben würde, wenn der Boden unbebaut wäre. </w:t>
      </w:r>
    </w:p>
    <w:p w:rsidR="00C5420F" w:rsidRDefault="00C5420F" w:rsidP="00C5420F">
      <w:pPr>
        <w:tabs>
          <w:tab w:val="right" w:pos="3969"/>
          <w:tab w:val="right" w:pos="6237"/>
          <w:tab w:val="right" w:pos="8505"/>
        </w:tabs>
        <w:spacing w:before="120"/>
        <w:jc w:val="both"/>
      </w:pPr>
      <w:r>
        <w:t>Die Bodenrichtwerte sind in Euro (€) angegeben und auf den Quadratmeter Grundstücksfläche bezogen. Für baureifes Land beinhalten sie i.d.R. die üblichen Anliegerleistungen, d. h. sie werden in erschließungsbeitragsfreiem Zustand angegeben.</w:t>
      </w:r>
    </w:p>
    <w:p w:rsidR="00C5420F" w:rsidRDefault="00C5420F" w:rsidP="00C5420F">
      <w:pPr>
        <w:tabs>
          <w:tab w:val="right" w:pos="3969"/>
          <w:tab w:val="right" w:pos="6237"/>
          <w:tab w:val="right" w:pos="8505"/>
        </w:tabs>
        <w:ind w:left="720" w:hanging="720"/>
      </w:pPr>
    </w:p>
    <w:p w:rsidR="00C5420F" w:rsidRDefault="00C5420F" w:rsidP="00C5420F">
      <w:pPr>
        <w:tabs>
          <w:tab w:val="right" w:pos="3969"/>
          <w:tab w:val="right" w:pos="6237"/>
          <w:tab w:val="right" w:pos="8505"/>
        </w:tabs>
        <w:ind w:left="720" w:hanging="720"/>
      </w:pPr>
      <w:r>
        <w:t>Es wurden folgende Bodenrichtwerte ermittelt:</w:t>
      </w:r>
    </w:p>
    <w:p w:rsidR="00C5420F" w:rsidRDefault="00C5420F" w:rsidP="00C5420F">
      <w:pPr>
        <w:tabs>
          <w:tab w:val="right" w:pos="3969"/>
          <w:tab w:val="right" w:pos="6237"/>
          <w:tab w:val="right" w:pos="8505"/>
        </w:tabs>
        <w:ind w:left="720" w:hanging="720"/>
      </w:pPr>
    </w:p>
    <w:tbl>
      <w:tblPr>
        <w:tblStyle w:val="Tabellenraster"/>
        <w:tblW w:w="8789" w:type="dxa"/>
        <w:tblInd w:w="137" w:type="dxa"/>
        <w:tblLayout w:type="fixed"/>
        <w:tblLook w:val="04A0" w:firstRow="1" w:lastRow="0" w:firstColumn="1" w:lastColumn="0" w:noHBand="0" w:noVBand="1"/>
      </w:tblPr>
      <w:tblGrid>
        <w:gridCol w:w="2409"/>
        <w:gridCol w:w="1595"/>
        <w:gridCol w:w="1593"/>
        <w:gridCol w:w="1595"/>
        <w:gridCol w:w="1597"/>
      </w:tblGrid>
      <w:tr w:rsidR="00C5420F" w:rsidTr="007A5755">
        <w:tc>
          <w:tcPr>
            <w:tcW w:w="2409" w:type="dxa"/>
          </w:tcPr>
          <w:p w:rsidR="00C5420F" w:rsidRDefault="00C5420F" w:rsidP="007A5755">
            <w:pPr>
              <w:widowControl w:val="0"/>
              <w:tabs>
                <w:tab w:val="right" w:pos="1983"/>
                <w:tab w:val="right" w:pos="3969"/>
                <w:tab w:val="right" w:pos="6237"/>
              </w:tabs>
              <w:rPr>
                <w:b/>
                <w:szCs w:val="22"/>
              </w:rPr>
            </w:pPr>
            <w:r>
              <w:rPr>
                <w:b/>
                <w:szCs w:val="22"/>
              </w:rPr>
              <w:t>Art der baulichen Nutzung</w:t>
            </w:r>
          </w:p>
        </w:tc>
        <w:tc>
          <w:tcPr>
            <w:tcW w:w="1595" w:type="dxa"/>
          </w:tcPr>
          <w:p w:rsidR="00C5420F" w:rsidRDefault="00C5420F" w:rsidP="007A5755">
            <w:pPr>
              <w:widowControl w:val="0"/>
              <w:tabs>
                <w:tab w:val="right" w:pos="1983"/>
                <w:tab w:val="right" w:pos="3969"/>
                <w:tab w:val="right" w:pos="6237"/>
              </w:tabs>
              <w:jc w:val="center"/>
              <w:rPr>
                <w:b/>
                <w:szCs w:val="22"/>
              </w:rPr>
            </w:pPr>
            <w:r>
              <w:rPr>
                <w:b/>
                <w:szCs w:val="22"/>
              </w:rPr>
              <w:t>Sindelfingen</w:t>
            </w:r>
          </w:p>
        </w:tc>
        <w:tc>
          <w:tcPr>
            <w:tcW w:w="1593" w:type="dxa"/>
          </w:tcPr>
          <w:p w:rsidR="00C5420F" w:rsidRDefault="00C5420F" w:rsidP="007A5755">
            <w:pPr>
              <w:widowControl w:val="0"/>
              <w:tabs>
                <w:tab w:val="right" w:pos="1983"/>
                <w:tab w:val="right" w:pos="3969"/>
                <w:tab w:val="right" w:pos="6237"/>
              </w:tabs>
              <w:jc w:val="center"/>
              <w:rPr>
                <w:b/>
                <w:szCs w:val="22"/>
              </w:rPr>
            </w:pPr>
            <w:r>
              <w:rPr>
                <w:b/>
                <w:szCs w:val="22"/>
              </w:rPr>
              <w:t>Maichingen</w:t>
            </w:r>
          </w:p>
        </w:tc>
        <w:tc>
          <w:tcPr>
            <w:tcW w:w="1595" w:type="dxa"/>
          </w:tcPr>
          <w:p w:rsidR="00C5420F" w:rsidRDefault="00C5420F" w:rsidP="007A5755">
            <w:pPr>
              <w:widowControl w:val="0"/>
              <w:tabs>
                <w:tab w:val="right" w:pos="1983"/>
                <w:tab w:val="right" w:pos="3969"/>
                <w:tab w:val="right" w:pos="6237"/>
              </w:tabs>
              <w:jc w:val="center"/>
              <w:rPr>
                <w:b/>
                <w:szCs w:val="22"/>
              </w:rPr>
            </w:pPr>
            <w:proofErr w:type="spellStart"/>
            <w:r>
              <w:rPr>
                <w:b/>
                <w:szCs w:val="22"/>
              </w:rPr>
              <w:t>Darmsheim</w:t>
            </w:r>
            <w:proofErr w:type="spellEnd"/>
          </w:p>
        </w:tc>
        <w:tc>
          <w:tcPr>
            <w:tcW w:w="1597" w:type="dxa"/>
          </w:tcPr>
          <w:p w:rsidR="00C5420F" w:rsidRDefault="00C5420F" w:rsidP="007A5755">
            <w:pPr>
              <w:widowControl w:val="0"/>
              <w:tabs>
                <w:tab w:val="right" w:pos="1983"/>
                <w:tab w:val="right" w:pos="3969"/>
                <w:tab w:val="right" w:pos="6237"/>
              </w:tabs>
              <w:jc w:val="center"/>
              <w:rPr>
                <w:b/>
                <w:szCs w:val="22"/>
              </w:rPr>
            </w:pPr>
            <w:r>
              <w:rPr>
                <w:b/>
                <w:szCs w:val="22"/>
              </w:rPr>
              <w:t>Magstadt</w:t>
            </w:r>
          </w:p>
        </w:tc>
      </w:tr>
      <w:tr w:rsidR="00C5420F" w:rsidTr="007A5755">
        <w:tc>
          <w:tcPr>
            <w:tcW w:w="2409" w:type="dxa"/>
          </w:tcPr>
          <w:p w:rsidR="00C5420F" w:rsidRDefault="00C5420F" w:rsidP="007A5755">
            <w:pPr>
              <w:widowControl w:val="0"/>
              <w:tabs>
                <w:tab w:val="right" w:pos="1983"/>
                <w:tab w:val="right" w:pos="3969"/>
                <w:tab w:val="right" w:pos="6237"/>
              </w:tabs>
              <w:jc w:val="both"/>
            </w:pPr>
          </w:p>
        </w:tc>
        <w:tc>
          <w:tcPr>
            <w:tcW w:w="1595" w:type="dxa"/>
          </w:tcPr>
          <w:p w:rsidR="00C5420F" w:rsidRDefault="00C5420F" w:rsidP="007A5755">
            <w:pPr>
              <w:widowControl w:val="0"/>
              <w:tabs>
                <w:tab w:val="right" w:pos="1983"/>
                <w:tab w:val="right" w:pos="3969"/>
                <w:tab w:val="right" w:pos="6237"/>
              </w:tabs>
              <w:jc w:val="right"/>
            </w:pPr>
            <w:r>
              <w:t>€/m²</w:t>
            </w:r>
          </w:p>
        </w:tc>
        <w:tc>
          <w:tcPr>
            <w:tcW w:w="1593" w:type="dxa"/>
          </w:tcPr>
          <w:p w:rsidR="00C5420F" w:rsidRDefault="00C5420F" w:rsidP="007A5755">
            <w:pPr>
              <w:widowControl w:val="0"/>
              <w:tabs>
                <w:tab w:val="right" w:pos="1983"/>
                <w:tab w:val="right" w:pos="3969"/>
                <w:tab w:val="right" w:pos="6237"/>
              </w:tabs>
              <w:jc w:val="right"/>
            </w:pPr>
            <w:r>
              <w:t>€/m²</w:t>
            </w:r>
          </w:p>
        </w:tc>
        <w:tc>
          <w:tcPr>
            <w:tcW w:w="1595" w:type="dxa"/>
          </w:tcPr>
          <w:p w:rsidR="00C5420F" w:rsidRDefault="00C5420F" w:rsidP="007A5755">
            <w:pPr>
              <w:widowControl w:val="0"/>
              <w:tabs>
                <w:tab w:val="right" w:pos="1983"/>
                <w:tab w:val="right" w:pos="3969"/>
                <w:tab w:val="right" w:pos="6237"/>
              </w:tabs>
              <w:jc w:val="right"/>
            </w:pPr>
            <w:r>
              <w:t>€/m²</w:t>
            </w:r>
          </w:p>
        </w:tc>
        <w:tc>
          <w:tcPr>
            <w:tcW w:w="1597" w:type="dxa"/>
          </w:tcPr>
          <w:p w:rsidR="00C5420F" w:rsidRDefault="00C5420F" w:rsidP="007A5755">
            <w:pPr>
              <w:widowControl w:val="0"/>
              <w:tabs>
                <w:tab w:val="right" w:pos="1983"/>
                <w:tab w:val="right" w:pos="3969"/>
                <w:tab w:val="right" w:pos="6237"/>
              </w:tabs>
              <w:jc w:val="right"/>
            </w:pPr>
            <w:r>
              <w:t>€/m²</w:t>
            </w:r>
          </w:p>
        </w:tc>
      </w:tr>
      <w:tr w:rsidR="00C5420F" w:rsidTr="007A5755">
        <w:tc>
          <w:tcPr>
            <w:tcW w:w="2409" w:type="dxa"/>
          </w:tcPr>
          <w:p w:rsidR="00C5420F" w:rsidRDefault="00C5420F" w:rsidP="007A5755">
            <w:pPr>
              <w:widowControl w:val="0"/>
              <w:tabs>
                <w:tab w:val="right" w:pos="1983"/>
                <w:tab w:val="right" w:pos="3969"/>
                <w:tab w:val="right" w:pos="6237"/>
              </w:tabs>
              <w:jc w:val="both"/>
              <w:rPr>
                <w:b/>
              </w:rPr>
            </w:pPr>
            <w:r>
              <w:rPr>
                <w:b/>
              </w:rPr>
              <w:t>Baureifes Land</w:t>
            </w:r>
          </w:p>
        </w:tc>
        <w:tc>
          <w:tcPr>
            <w:tcW w:w="1595" w:type="dxa"/>
          </w:tcPr>
          <w:p w:rsidR="00C5420F" w:rsidRDefault="00C5420F" w:rsidP="007A5755">
            <w:pPr>
              <w:widowControl w:val="0"/>
              <w:tabs>
                <w:tab w:val="right" w:pos="1983"/>
                <w:tab w:val="right" w:pos="3969"/>
                <w:tab w:val="right" w:pos="6237"/>
              </w:tabs>
            </w:pPr>
          </w:p>
        </w:tc>
        <w:tc>
          <w:tcPr>
            <w:tcW w:w="1593" w:type="dxa"/>
          </w:tcPr>
          <w:p w:rsidR="00C5420F" w:rsidRDefault="00C5420F" w:rsidP="007A5755">
            <w:pPr>
              <w:widowControl w:val="0"/>
              <w:tabs>
                <w:tab w:val="right" w:pos="1983"/>
                <w:tab w:val="right" w:pos="3969"/>
                <w:tab w:val="right" w:pos="6237"/>
              </w:tabs>
            </w:pPr>
          </w:p>
        </w:tc>
        <w:tc>
          <w:tcPr>
            <w:tcW w:w="1595" w:type="dxa"/>
          </w:tcPr>
          <w:p w:rsidR="00C5420F" w:rsidRDefault="00C5420F" w:rsidP="007A5755">
            <w:pPr>
              <w:widowControl w:val="0"/>
              <w:tabs>
                <w:tab w:val="right" w:pos="1983"/>
                <w:tab w:val="right" w:pos="3969"/>
                <w:tab w:val="right" w:pos="6237"/>
              </w:tabs>
            </w:pPr>
          </w:p>
        </w:tc>
        <w:tc>
          <w:tcPr>
            <w:tcW w:w="1597" w:type="dxa"/>
          </w:tcPr>
          <w:p w:rsidR="00C5420F" w:rsidRDefault="00C5420F" w:rsidP="007A5755">
            <w:pPr>
              <w:widowControl w:val="0"/>
              <w:tabs>
                <w:tab w:val="right" w:pos="1983"/>
                <w:tab w:val="right" w:pos="3969"/>
                <w:tab w:val="right" w:pos="6237"/>
              </w:tabs>
            </w:pPr>
          </w:p>
        </w:tc>
      </w:tr>
      <w:tr w:rsidR="00C5420F" w:rsidTr="007A5755">
        <w:tc>
          <w:tcPr>
            <w:tcW w:w="2409" w:type="dxa"/>
          </w:tcPr>
          <w:p w:rsidR="00C5420F" w:rsidRDefault="00C5420F" w:rsidP="007A5755">
            <w:pPr>
              <w:widowControl w:val="0"/>
              <w:tabs>
                <w:tab w:val="right" w:pos="1983"/>
                <w:tab w:val="right" w:pos="3969"/>
                <w:tab w:val="right" w:pos="6237"/>
              </w:tabs>
              <w:jc w:val="both"/>
            </w:pPr>
            <w:r>
              <w:t>Wohnbauflächen</w:t>
            </w:r>
          </w:p>
        </w:tc>
        <w:tc>
          <w:tcPr>
            <w:tcW w:w="1595" w:type="dxa"/>
          </w:tcPr>
          <w:p w:rsidR="00C5420F" w:rsidRDefault="00C5420F" w:rsidP="007A5755">
            <w:pPr>
              <w:widowControl w:val="0"/>
              <w:tabs>
                <w:tab w:val="right" w:pos="1983"/>
                <w:tab w:val="right" w:pos="3969"/>
                <w:tab w:val="right" w:pos="6237"/>
              </w:tabs>
              <w:jc w:val="right"/>
            </w:pPr>
            <w:r>
              <w:t xml:space="preserve">720 - 1150 </w:t>
            </w:r>
          </w:p>
        </w:tc>
        <w:tc>
          <w:tcPr>
            <w:tcW w:w="1593" w:type="dxa"/>
          </w:tcPr>
          <w:p w:rsidR="00C5420F" w:rsidRDefault="00C5420F" w:rsidP="007A5755">
            <w:pPr>
              <w:widowControl w:val="0"/>
              <w:tabs>
                <w:tab w:val="right" w:pos="1983"/>
                <w:tab w:val="right" w:pos="3969"/>
                <w:tab w:val="right" w:pos="6237"/>
              </w:tabs>
              <w:jc w:val="right"/>
            </w:pPr>
            <w:r>
              <w:t>700 - 1200</w:t>
            </w:r>
          </w:p>
        </w:tc>
        <w:tc>
          <w:tcPr>
            <w:tcW w:w="1595" w:type="dxa"/>
          </w:tcPr>
          <w:p w:rsidR="00C5420F" w:rsidRDefault="00C5420F" w:rsidP="007A5755">
            <w:pPr>
              <w:widowControl w:val="0"/>
              <w:tabs>
                <w:tab w:val="right" w:pos="1983"/>
                <w:tab w:val="right" w:pos="3969"/>
                <w:tab w:val="right" w:pos="6237"/>
              </w:tabs>
              <w:jc w:val="right"/>
            </w:pPr>
            <w:r>
              <w:t>700 - 880</w:t>
            </w:r>
          </w:p>
        </w:tc>
        <w:tc>
          <w:tcPr>
            <w:tcW w:w="1597" w:type="dxa"/>
          </w:tcPr>
          <w:p w:rsidR="00C5420F" w:rsidRDefault="00C5420F" w:rsidP="007A5755">
            <w:pPr>
              <w:widowControl w:val="0"/>
              <w:tabs>
                <w:tab w:val="right" w:pos="1983"/>
                <w:tab w:val="right" w:pos="3969"/>
                <w:tab w:val="right" w:pos="6237"/>
              </w:tabs>
              <w:jc w:val="right"/>
            </w:pPr>
            <w:r>
              <w:t>620 - 870</w:t>
            </w:r>
          </w:p>
        </w:tc>
      </w:tr>
      <w:tr w:rsidR="00C5420F" w:rsidTr="007A5755">
        <w:tc>
          <w:tcPr>
            <w:tcW w:w="2409" w:type="dxa"/>
          </w:tcPr>
          <w:p w:rsidR="00C5420F" w:rsidRDefault="00C5420F" w:rsidP="007A5755">
            <w:pPr>
              <w:widowControl w:val="0"/>
              <w:tabs>
                <w:tab w:val="right" w:pos="1983"/>
                <w:tab w:val="right" w:pos="3969"/>
                <w:tab w:val="right" w:pos="6237"/>
              </w:tabs>
              <w:jc w:val="both"/>
            </w:pPr>
            <w:r>
              <w:t>Zentrumslagen, Misch- und Kerngebiete</w:t>
            </w:r>
          </w:p>
        </w:tc>
        <w:tc>
          <w:tcPr>
            <w:tcW w:w="1595" w:type="dxa"/>
          </w:tcPr>
          <w:p w:rsidR="00C5420F" w:rsidRDefault="00C5420F" w:rsidP="007A5755">
            <w:pPr>
              <w:widowControl w:val="0"/>
              <w:tabs>
                <w:tab w:val="right" w:pos="1983"/>
                <w:tab w:val="right" w:pos="3969"/>
                <w:tab w:val="right" w:pos="6237"/>
              </w:tabs>
              <w:jc w:val="right"/>
            </w:pPr>
            <w:r>
              <w:t>840 - 1100</w:t>
            </w:r>
          </w:p>
        </w:tc>
        <w:tc>
          <w:tcPr>
            <w:tcW w:w="1593" w:type="dxa"/>
          </w:tcPr>
          <w:p w:rsidR="00C5420F" w:rsidRDefault="00C5420F" w:rsidP="007A5755">
            <w:pPr>
              <w:widowControl w:val="0"/>
              <w:tabs>
                <w:tab w:val="right" w:pos="1983"/>
                <w:tab w:val="right" w:pos="3969"/>
                <w:tab w:val="right" w:pos="6237"/>
              </w:tabs>
              <w:jc w:val="right"/>
            </w:pPr>
            <w:r>
              <w:t>980</w:t>
            </w:r>
          </w:p>
        </w:tc>
        <w:tc>
          <w:tcPr>
            <w:tcW w:w="1595" w:type="dxa"/>
          </w:tcPr>
          <w:p w:rsidR="00C5420F" w:rsidRDefault="00C5420F" w:rsidP="007A5755">
            <w:pPr>
              <w:widowControl w:val="0"/>
              <w:tabs>
                <w:tab w:val="right" w:pos="1983"/>
                <w:tab w:val="right" w:pos="3969"/>
                <w:tab w:val="right" w:pos="6237"/>
              </w:tabs>
              <w:jc w:val="right"/>
            </w:pPr>
            <w:r>
              <w:t>850</w:t>
            </w:r>
          </w:p>
        </w:tc>
        <w:tc>
          <w:tcPr>
            <w:tcW w:w="1597" w:type="dxa"/>
          </w:tcPr>
          <w:p w:rsidR="00C5420F" w:rsidRDefault="00C5420F" w:rsidP="007A5755">
            <w:pPr>
              <w:widowControl w:val="0"/>
              <w:tabs>
                <w:tab w:val="right" w:pos="1983"/>
                <w:tab w:val="right" w:pos="3969"/>
                <w:tab w:val="right" w:pos="6237"/>
              </w:tabs>
              <w:jc w:val="right"/>
            </w:pPr>
            <w:r>
              <w:t>710 - 730</w:t>
            </w:r>
          </w:p>
        </w:tc>
      </w:tr>
      <w:tr w:rsidR="00C5420F" w:rsidTr="007A5755">
        <w:tc>
          <w:tcPr>
            <w:tcW w:w="2409" w:type="dxa"/>
          </w:tcPr>
          <w:p w:rsidR="00C5420F" w:rsidRDefault="00C5420F" w:rsidP="007A5755">
            <w:pPr>
              <w:widowControl w:val="0"/>
              <w:tabs>
                <w:tab w:val="right" w:pos="1983"/>
                <w:tab w:val="right" w:pos="3969"/>
                <w:tab w:val="right" w:pos="6237"/>
              </w:tabs>
              <w:jc w:val="both"/>
            </w:pPr>
            <w:proofErr w:type="spellStart"/>
            <w:r>
              <w:t>Gewerbl</w:t>
            </w:r>
            <w:proofErr w:type="spellEnd"/>
            <w:r>
              <w:t>. Bauflächen</w:t>
            </w:r>
          </w:p>
        </w:tc>
        <w:tc>
          <w:tcPr>
            <w:tcW w:w="1595" w:type="dxa"/>
          </w:tcPr>
          <w:p w:rsidR="00C5420F" w:rsidRDefault="00C5420F" w:rsidP="007A5755">
            <w:pPr>
              <w:widowControl w:val="0"/>
              <w:tabs>
                <w:tab w:val="right" w:pos="1983"/>
                <w:tab w:val="right" w:pos="3969"/>
                <w:tab w:val="right" w:pos="6237"/>
              </w:tabs>
              <w:jc w:val="right"/>
            </w:pPr>
            <w:r>
              <w:t>300 - 400</w:t>
            </w:r>
          </w:p>
        </w:tc>
        <w:tc>
          <w:tcPr>
            <w:tcW w:w="1593" w:type="dxa"/>
          </w:tcPr>
          <w:p w:rsidR="00C5420F" w:rsidRDefault="00C5420F" w:rsidP="007A5755">
            <w:pPr>
              <w:widowControl w:val="0"/>
              <w:tabs>
                <w:tab w:val="right" w:pos="1983"/>
                <w:tab w:val="right" w:pos="3969"/>
                <w:tab w:val="right" w:pos="6237"/>
              </w:tabs>
              <w:jc w:val="right"/>
            </w:pPr>
            <w:r>
              <w:t>220 - 250</w:t>
            </w:r>
          </w:p>
        </w:tc>
        <w:tc>
          <w:tcPr>
            <w:tcW w:w="1595" w:type="dxa"/>
          </w:tcPr>
          <w:p w:rsidR="00C5420F" w:rsidRDefault="00C5420F" w:rsidP="007A5755">
            <w:pPr>
              <w:widowControl w:val="0"/>
              <w:tabs>
                <w:tab w:val="right" w:pos="1983"/>
                <w:tab w:val="right" w:pos="3969"/>
                <w:tab w:val="right" w:pos="6237"/>
              </w:tabs>
              <w:jc w:val="right"/>
            </w:pPr>
            <w:r>
              <w:t>200</w:t>
            </w:r>
          </w:p>
        </w:tc>
        <w:tc>
          <w:tcPr>
            <w:tcW w:w="1597" w:type="dxa"/>
          </w:tcPr>
          <w:p w:rsidR="00C5420F" w:rsidRDefault="00C5420F" w:rsidP="007A5755">
            <w:pPr>
              <w:widowControl w:val="0"/>
              <w:tabs>
                <w:tab w:val="right" w:pos="1983"/>
                <w:tab w:val="right" w:pos="3969"/>
                <w:tab w:val="right" w:pos="6237"/>
              </w:tabs>
              <w:jc w:val="right"/>
            </w:pPr>
            <w:r>
              <w:t>200</w:t>
            </w:r>
          </w:p>
        </w:tc>
      </w:tr>
      <w:tr w:rsidR="00C5420F" w:rsidTr="007A5755">
        <w:tc>
          <w:tcPr>
            <w:tcW w:w="2409" w:type="dxa"/>
          </w:tcPr>
          <w:p w:rsidR="00C5420F" w:rsidRDefault="00C5420F" w:rsidP="007A5755">
            <w:pPr>
              <w:widowControl w:val="0"/>
              <w:tabs>
                <w:tab w:val="right" w:pos="1983"/>
                <w:tab w:val="right" w:pos="3969"/>
                <w:tab w:val="right" w:pos="6237"/>
              </w:tabs>
              <w:jc w:val="both"/>
            </w:pPr>
            <w:r>
              <w:t>Wochenendhausgebiete</w:t>
            </w:r>
          </w:p>
        </w:tc>
        <w:tc>
          <w:tcPr>
            <w:tcW w:w="1595" w:type="dxa"/>
          </w:tcPr>
          <w:p w:rsidR="00C5420F" w:rsidRDefault="00C5420F" w:rsidP="007A5755">
            <w:pPr>
              <w:widowControl w:val="0"/>
              <w:tabs>
                <w:tab w:val="right" w:pos="1983"/>
                <w:tab w:val="right" w:pos="3969"/>
                <w:tab w:val="right" w:pos="6237"/>
              </w:tabs>
              <w:jc w:val="right"/>
            </w:pPr>
            <w:r>
              <w:t>-</w:t>
            </w:r>
          </w:p>
        </w:tc>
        <w:tc>
          <w:tcPr>
            <w:tcW w:w="1593" w:type="dxa"/>
          </w:tcPr>
          <w:p w:rsidR="00C5420F" w:rsidRDefault="00C5420F" w:rsidP="007A5755">
            <w:pPr>
              <w:widowControl w:val="0"/>
              <w:tabs>
                <w:tab w:val="right" w:pos="1983"/>
                <w:tab w:val="right" w:pos="3969"/>
                <w:tab w:val="right" w:pos="6237"/>
              </w:tabs>
              <w:jc w:val="right"/>
            </w:pPr>
            <w:r>
              <w:t>-</w:t>
            </w:r>
          </w:p>
        </w:tc>
        <w:tc>
          <w:tcPr>
            <w:tcW w:w="1595" w:type="dxa"/>
          </w:tcPr>
          <w:p w:rsidR="00C5420F" w:rsidRDefault="00C5420F" w:rsidP="007A5755">
            <w:pPr>
              <w:widowControl w:val="0"/>
              <w:tabs>
                <w:tab w:val="right" w:pos="1983"/>
                <w:tab w:val="right" w:pos="3969"/>
                <w:tab w:val="right" w:pos="6237"/>
              </w:tabs>
              <w:jc w:val="right"/>
            </w:pPr>
            <w:r>
              <w:t>-</w:t>
            </w:r>
          </w:p>
        </w:tc>
        <w:tc>
          <w:tcPr>
            <w:tcW w:w="1597" w:type="dxa"/>
          </w:tcPr>
          <w:p w:rsidR="00C5420F" w:rsidRDefault="00C5420F" w:rsidP="007A5755">
            <w:pPr>
              <w:widowControl w:val="0"/>
              <w:tabs>
                <w:tab w:val="right" w:pos="1983"/>
                <w:tab w:val="right" w:pos="3969"/>
                <w:tab w:val="right" w:pos="6237"/>
              </w:tabs>
              <w:jc w:val="right"/>
            </w:pPr>
            <w:r>
              <w:t>60 - 70</w:t>
            </w:r>
          </w:p>
        </w:tc>
      </w:tr>
      <w:tr w:rsidR="00C5420F" w:rsidTr="007A5755">
        <w:tc>
          <w:tcPr>
            <w:tcW w:w="2409" w:type="dxa"/>
          </w:tcPr>
          <w:p w:rsidR="00C5420F" w:rsidRDefault="00C5420F" w:rsidP="007A5755">
            <w:pPr>
              <w:widowControl w:val="0"/>
              <w:tabs>
                <w:tab w:val="right" w:pos="1983"/>
                <w:tab w:val="right" w:pos="3969"/>
                <w:tab w:val="right" w:pos="6237"/>
              </w:tabs>
              <w:jc w:val="both"/>
            </w:pPr>
          </w:p>
        </w:tc>
        <w:tc>
          <w:tcPr>
            <w:tcW w:w="1595" w:type="dxa"/>
          </w:tcPr>
          <w:p w:rsidR="00C5420F" w:rsidRDefault="00C5420F" w:rsidP="007A5755">
            <w:pPr>
              <w:widowControl w:val="0"/>
              <w:tabs>
                <w:tab w:val="right" w:pos="1983"/>
                <w:tab w:val="right" w:pos="3969"/>
                <w:tab w:val="right" w:pos="6237"/>
              </w:tabs>
              <w:jc w:val="right"/>
            </w:pPr>
          </w:p>
        </w:tc>
        <w:tc>
          <w:tcPr>
            <w:tcW w:w="1593" w:type="dxa"/>
          </w:tcPr>
          <w:p w:rsidR="00C5420F" w:rsidRDefault="00C5420F" w:rsidP="007A5755">
            <w:pPr>
              <w:widowControl w:val="0"/>
              <w:tabs>
                <w:tab w:val="right" w:pos="1983"/>
                <w:tab w:val="right" w:pos="3969"/>
                <w:tab w:val="right" w:pos="6237"/>
              </w:tabs>
              <w:jc w:val="right"/>
            </w:pPr>
          </w:p>
        </w:tc>
        <w:tc>
          <w:tcPr>
            <w:tcW w:w="1595" w:type="dxa"/>
          </w:tcPr>
          <w:p w:rsidR="00C5420F" w:rsidRDefault="00C5420F" w:rsidP="007A5755">
            <w:pPr>
              <w:widowControl w:val="0"/>
              <w:tabs>
                <w:tab w:val="right" w:pos="1983"/>
                <w:tab w:val="right" w:pos="3969"/>
                <w:tab w:val="right" w:pos="6237"/>
              </w:tabs>
              <w:jc w:val="right"/>
            </w:pPr>
          </w:p>
        </w:tc>
        <w:tc>
          <w:tcPr>
            <w:tcW w:w="1597" w:type="dxa"/>
          </w:tcPr>
          <w:p w:rsidR="00C5420F" w:rsidRDefault="00C5420F" w:rsidP="007A5755">
            <w:pPr>
              <w:widowControl w:val="0"/>
              <w:tabs>
                <w:tab w:val="right" w:pos="1983"/>
                <w:tab w:val="right" w:pos="3969"/>
                <w:tab w:val="right" w:pos="6237"/>
              </w:tabs>
              <w:jc w:val="right"/>
            </w:pPr>
          </w:p>
        </w:tc>
      </w:tr>
      <w:tr w:rsidR="00C5420F" w:rsidTr="007A5755">
        <w:tc>
          <w:tcPr>
            <w:tcW w:w="2409" w:type="dxa"/>
          </w:tcPr>
          <w:p w:rsidR="00C5420F" w:rsidRDefault="00C5420F" w:rsidP="007A5755">
            <w:pPr>
              <w:widowControl w:val="0"/>
              <w:tabs>
                <w:tab w:val="right" w:pos="1983"/>
                <w:tab w:val="right" w:pos="3969"/>
                <w:tab w:val="right" w:pos="6237"/>
              </w:tabs>
              <w:jc w:val="both"/>
              <w:rPr>
                <w:b/>
              </w:rPr>
            </w:pPr>
            <w:r>
              <w:rPr>
                <w:b/>
              </w:rPr>
              <w:t>Agrarland</w:t>
            </w:r>
          </w:p>
        </w:tc>
        <w:tc>
          <w:tcPr>
            <w:tcW w:w="1595" w:type="dxa"/>
          </w:tcPr>
          <w:p w:rsidR="00C5420F" w:rsidRDefault="00C5420F" w:rsidP="007A5755">
            <w:pPr>
              <w:widowControl w:val="0"/>
              <w:tabs>
                <w:tab w:val="right" w:pos="1983"/>
                <w:tab w:val="right" w:pos="3969"/>
                <w:tab w:val="right" w:pos="6237"/>
              </w:tabs>
              <w:jc w:val="right"/>
            </w:pPr>
          </w:p>
        </w:tc>
        <w:tc>
          <w:tcPr>
            <w:tcW w:w="1593" w:type="dxa"/>
          </w:tcPr>
          <w:p w:rsidR="00C5420F" w:rsidRDefault="00C5420F" w:rsidP="007A5755">
            <w:pPr>
              <w:widowControl w:val="0"/>
              <w:tabs>
                <w:tab w:val="right" w:pos="1983"/>
                <w:tab w:val="right" w:pos="3969"/>
                <w:tab w:val="right" w:pos="6237"/>
              </w:tabs>
              <w:jc w:val="right"/>
            </w:pPr>
          </w:p>
        </w:tc>
        <w:tc>
          <w:tcPr>
            <w:tcW w:w="1595" w:type="dxa"/>
          </w:tcPr>
          <w:p w:rsidR="00C5420F" w:rsidRDefault="00C5420F" w:rsidP="007A5755">
            <w:pPr>
              <w:widowControl w:val="0"/>
              <w:tabs>
                <w:tab w:val="right" w:pos="1983"/>
                <w:tab w:val="right" w:pos="3969"/>
                <w:tab w:val="right" w:pos="6237"/>
              </w:tabs>
              <w:jc w:val="right"/>
            </w:pPr>
          </w:p>
        </w:tc>
        <w:tc>
          <w:tcPr>
            <w:tcW w:w="1597" w:type="dxa"/>
          </w:tcPr>
          <w:p w:rsidR="00C5420F" w:rsidRDefault="00C5420F" w:rsidP="007A5755">
            <w:pPr>
              <w:widowControl w:val="0"/>
              <w:tabs>
                <w:tab w:val="right" w:pos="1983"/>
                <w:tab w:val="right" w:pos="3969"/>
                <w:tab w:val="right" w:pos="6237"/>
              </w:tabs>
              <w:jc w:val="right"/>
            </w:pPr>
          </w:p>
        </w:tc>
      </w:tr>
      <w:tr w:rsidR="00C5420F" w:rsidTr="007A5755">
        <w:tc>
          <w:tcPr>
            <w:tcW w:w="2409" w:type="dxa"/>
          </w:tcPr>
          <w:p w:rsidR="00C5420F" w:rsidRDefault="00C5420F" w:rsidP="007A5755">
            <w:pPr>
              <w:widowControl w:val="0"/>
              <w:tabs>
                <w:tab w:val="right" w:pos="1983"/>
                <w:tab w:val="right" w:pos="3969"/>
                <w:tab w:val="right" w:pos="6237"/>
              </w:tabs>
              <w:jc w:val="both"/>
            </w:pPr>
            <w:proofErr w:type="gramStart"/>
            <w:r>
              <w:t>Ackerland  (</w:t>
            </w:r>
            <w:proofErr w:type="gramEnd"/>
            <w:r>
              <w:t>Mittelwert)</w:t>
            </w:r>
          </w:p>
        </w:tc>
        <w:tc>
          <w:tcPr>
            <w:tcW w:w="1595" w:type="dxa"/>
          </w:tcPr>
          <w:p w:rsidR="00C5420F" w:rsidRPr="00506F8F" w:rsidRDefault="00C5420F" w:rsidP="007A5755">
            <w:pPr>
              <w:widowControl w:val="0"/>
              <w:tabs>
                <w:tab w:val="right" w:pos="1983"/>
                <w:tab w:val="right" w:pos="3969"/>
                <w:tab w:val="right" w:pos="6237"/>
              </w:tabs>
              <w:jc w:val="right"/>
            </w:pPr>
            <w:r>
              <w:t xml:space="preserve"> 9</w:t>
            </w:r>
          </w:p>
        </w:tc>
        <w:tc>
          <w:tcPr>
            <w:tcW w:w="1593" w:type="dxa"/>
          </w:tcPr>
          <w:p w:rsidR="00C5420F" w:rsidRDefault="00C5420F" w:rsidP="007A5755">
            <w:pPr>
              <w:widowControl w:val="0"/>
              <w:tabs>
                <w:tab w:val="right" w:pos="1983"/>
                <w:tab w:val="right" w:pos="3969"/>
                <w:tab w:val="right" w:pos="6237"/>
              </w:tabs>
              <w:jc w:val="right"/>
            </w:pPr>
            <w:r>
              <w:t>7,5</w:t>
            </w:r>
          </w:p>
        </w:tc>
        <w:tc>
          <w:tcPr>
            <w:tcW w:w="1595" w:type="dxa"/>
          </w:tcPr>
          <w:p w:rsidR="00C5420F" w:rsidRDefault="00C5420F" w:rsidP="007A5755">
            <w:pPr>
              <w:widowControl w:val="0"/>
              <w:tabs>
                <w:tab w:val="right" w:pos="1983"/>
                <w:tab w:val="right" w:pos="3969"/>
                <w:tab w:val="right" w:pos="6237"/>
              </w:tabs>
              <w:jc w:val="right"/>
            </w:pPr>
            <w:r>
              <w:t>7</w:t>
            </w:r>
          </w:p>
        </w:tc>
        <w:tc>
          <w:tcPr>
            <w:tcW w:w="1597" w:type="dxa"/>
          </w:tcPr>
          <w:p w:rsidR="00C5420F" w:rsidRDefault="00C5420F" w:rsidP="007A5755">
            <w:pPr>
              <w:widowControl w:val="0"/>
              <w:tabs>
                <w:tab w:val="right" w:pos="1983"/>
                <w:tab w:val="right" w:pos="3969"/>
                <w:tab w:val="right" w:pos="6237"/>
              </w:tabs>
              <w:jc w:val="right"/>
            </w:pPr>
            <w:r>
              <w:t>7,5</w:t>
            </w:r>
          </w:p>
        </w:tc>
      </w:tr>
      <w:tr w:rsidR="00C5420F" w:rsidTr="007A5755">
        <w:tc>
          <w:tcPr>
            <w:tcW w:w="2409" w:type="dxa"/>
          </w:tcPr>
          <w:p w:rsidR="00C5420F" w:rsidRDefault="00C5420F" w:rsidP="007A5755">
            <w:pPr>
              <w:widowControl w:val="0"/>
              <w:tabs>
                <w:tab w:val="right" w:pos="1983"/>
                <w:tab w:val="right" w:pos="3969"/>
                <w:tab w:val="right" w:pos="6237"/>
              </w:tabs>
              <w:jc w:val="both"/>
            </w:pPr>
            <w:r>
              <w:t>Grünland (Mittelwert)</w:t>
            </w:r>
          </w:p>
        </w:tc>
        <w:tc>
          <w:tcPr>
            <w:tcW w:w="1595" w:type="dxa"/>
          </w:tcPr>
          <w:p w:rsidR="00C5420F" w:rsidRDefault="00C5420F" w:rsidP="007A5755">
            <w:pPr>
              <w:widowControl w:val="0"/>
              <w:tabs>
                <w:tab w:val="right" w:pos="1983"/>
                <w:tab w:val="right" w:pos="3969"/>
                <w:tab w:val="right" w:pos="6237"/>
              </w:tabs>
              <w:jc w:val="right"/>
            </w:pPr>
            <w:r>
              <w:t>7</w:t>
            </w:r>
          </w:p>
        </w:tc>
        <w:tc>
          <w:tcPr>
            <w:tcW w:w="1593" w:type="dxa"/>
          </w:tcPr>
          <w:p w:rsidR="00C5420F" w:rsidRDefault="00C5420F" w:rsidP="007A5755">
            <w:pPr>
              <w:widowControl w:val="0"/>
              <w:tabs>
                <w:tab w:val="right" w:pos="1983"/>
                <w:tab w:val="right" w:pos="3969"/>
                <w:tab w:val="right" w:pos="6237"/>
              </w:tabs>
              <w:jc w:val="right"/>
            </w:pPr>
            <w:r>
              <w:t>6,5</w:t>
            </w:r>
          </w:p>
        </w:tc>
        <w:tc>
          <w:tcPr>
            <w:tcW w:w="1595" w:type="dxa"/>
          </w:tcPr>
          <w:p w:rsidR="00C5420F" w:rsidRDefault="00C5420F" w:rsidP="007A5755">
            <w:pPr>
              <w:widowControl w:val="0"/>
              <w:tabs>
                <w:tab w:val="right" w:pos="1983"/>
                <w:tab w:val="right" w:pos="3969"/>
                <w:tab w:val="right" w:pos="6237"/>
              </w:tabs>
              <w:jc w:val="right"/>
            </w:pPr>
            <w:r>
              <w:t>7</w:t>
            </w:r>
          </w:p>
        </w:tc>
        <w:tc>
          <w:tcPr>
            <w:tcW w:w="1597" w:type="dxa"/>
          </w:tcPr>
          <w:p w:rsidR="00C5420F" w:rsidRDefault="00C5420F" w:rsidP="007A5755">
            <w:pPr>
              <w:widowControl w:val="0"/>
              <w:tabs>
                <w:tab w:val="right" w:pos="1983"/>
                <w:tab w:val="right" w:pos="3969"/>
                <w:tab w:val="right" w:pos="6237"/>
              </w:tabs>
              <w:jc w:val="right"/>
            </w:pPr>
            <w:r>
              <w:t>6,5</w:t>
            </w:r>
          </w:p>
        </w:tc>
      </w:tr>
      <w:tr w:rsidR="00C5420F" w:rsidTr="007A5755">
        <w:tc>
          <w:tcPr>
            <w:tcW w:w="2409" w:type="dxa"/>
          </w:tcPr>
          <w:p w:rsidR="00C5420F" w:rsidRDefault="00C5420F" w:rsidP="007A5755">
            <w:pPr>
              <w:widowControl w:val="0"/>
              <w:tabs>
                <w:tab w:val="right" w:pos="1983"/>
                <w:tab w:val="right" w:pos="3969"/>
                <w:tab w:val="right" w:pos="6237"/>
              </w:tabs>
            </w:pPr>
            <w:r>
              <w:t>Garten- bzw. Freizeitgrundstücke, ortsnahe Grünflächen (Mittelwert)</w:t>
            </w:r>
          </w:p>
        </w:tc>
        <w:tc>
          <w:tcPr>
            <w:tcW w:w="1595" w:type="dxa"/>
          </w:tcPr>
          <w:p w:rsidR="00C5420F" w:rsidRDefault="00C5420F" w:rsidP="007A5755">
            <w:pPr>
              <w:widowControl w:val="0"/>
              <w:tabs>
                <w:tab w:val="right" w:pos="1983"/>
                <w:tab w:val="right" w:pos="3969"/>
                <w:tab w:val="right" w:pos="6237"/>
              </w:tabs>
              <w:jc w:val="right"/>
            </w:pPr>
            <w:r>
              <w:t xml:space="preserve">25 </w:t>
            </w:r>
          </w:p>
        </w:tc>
        <w:tc>
          <w:tcPr>
            <w:tcW w:w="1593" w:type="dxa"/>
          </w:tcPr>
          <w:p w:rsidR="00C5420F" w:rsidRDefault="00C5420F" w:rsidP="007A5755">
            <w:pPr>
              <w:widowControl w:val="0"/>
              <w:tabs>
                <w:tab w:val="right" w:pos="1983"/>
                <w:tab w:val="right" w:pos="3969"/>
                <w:tab w:val="right" w:pos="6237"/>
              </w:tabs>
              <w:jc w:val="right"/>
            </w:pPr>
          </w:p>
        </w:tc>
        <w:tc>
          <w:tcPr>
            <w:tcW w:w="1595" w:type="dxa"/>
          </w:tcPr>
          <w:p w:rsidR="00C5420F" w:rsidRDefault="00C5420F" w:rsidP="007A5755">
            <w:pPr>
              <w:widowControl w:val="0"/>
              <w:tabs>
                <w:tab w:val="right" w:pos="1983"/>
                <w:tab w:val="right" w:pos="3969"/>
                <w:tab w:val="right" w:pos="6237"/>
              </w:tabs>
              <w:jc w:val="right"/>
            </w:pPr>
            <w:r>
              <w:t>20</w:t>
            </w:r>
          </w:p>
        </w:tc>
        <w:tc>
          <w:tcPr>
            <w:tcW w:w="1597" w:type="dxa"/>
          </w:tcPr>
          <w:p w:rsidR="00C5420F" w:rsidRDefault="00C5420F" w:rsidP="007A5755">
            <w:pPr>
              <w:widowControl w:val="0"/>
              <w:tabs>
                <w:tab w:val="right" w:pos="1983"/>
                <w:tab w:val="right" w:pos="3969"/>
                <w:tab w:val="right" w:pos="6237"/>
              </w:tabs>
              <w:jc w:val="right"/>
            </w:pPr>
          </w:p>
        </w:tc>
      </w:tr>
    </w:tbl>
    <w:p w:rsidR="00C5420F" w:rsidRDefault="00C5420F" w:rsidP="00C5420F">
      <w:pPr>
        <w:tabs>
          <w:tab w:val="right" w:pos="3969"/>
          <w:tab w:val="right" w:pos="6237"/>
          <w:tab w:val="right" w:pos="8505"/>
        </w:tabs>
        <w:ind w:left="720" w:hanging="720"/>
      </w:pPr>
    </w:p>
    <w:p w:rsidR="00C5420F" w:rsidRDefault="00C5420F" w:rsidP="00C5420F">
      <w:pPr>
        <w:tabs>
          <w:tab w:val="right" w:pos="3969"/>
          <w:tab w:val="right" w:pos="6237"/>
          <w:tab w:val="right" w:pos="8505"/>
        </w:tabs>
        <w:ind w:left="720" w:hanging="720"/>
      </w:pPr>
    </w:p>
    <w:p w:rsidR="00C5420F" w:rsidRDefault="00C5420F" w:rsidP="00C5420F">
      <w:pPr>
        <w:tabs>
          <w:tab w:val="right" w:pos="3969"/>
          <w:tab w:val="right" w:pos="6237"/>
          <w:tab w:val="right" w:pos="8505"/>
        </w:tabs>
        <w:spacing w:before="120"/>
        <w:jc w:val="both"/>
      </w:pPr>
      <w:r>
        <w:t xml:space="preserve">Die Bodenrichtwerte sind in Bodenrichtwertkarten eingetragen, die bei der Stadt Sindelfingen, Amt für Stadtentwicklung und Geoinformation, Geschäftsstelle des Gutachterausschusses, Rathaus (Rathausplatz 1), 6. Etage, Zimmer 6.16 während der üblichen Sprechzeiten eingesehen werden können. Die Erläuterungen zu den Bodenrichtwerten sind zu beachten.  </w:t>
      </w:r>
    </w:p>
    <w:p w:rsidR="00C5420F" w:rsidRDefault="00C5420F" w:rsidP="00C5420F">
      <w:pPr>
        <w:tabs>
          <w:tab w:val="right" w:pos="3969"/>
          <w:tab w:val="right" w:pos="6237"/>
          <w:tab w:val="right" w:pos="8505"/>
        </w:tabs>
        <w:spacing w:before="120"/>
        <w:jc w:val="both"/>
      </w:pPr>
      <w:r>
        <w:t>Hinweis: Die Bodenrichtwertkarte sowie der Grundstücksmarktbericht 2024 werden in Kürze auf der Internetseite der Stadt Sindelfingen  (</w:t>
      </w:r>
      <w:bookmarkStart w:id="0" w:name="_Hlk103606233"/>
      <w:r>
        <w:fldChar w:fldCharType="begin"/>
      </w:r>
      <w:r>
        <w:instrText xml:space="preserve"> HYPERLINK "http://www.sindelfingen.de/" \h </w:instrText>
      </w:r>
      <w:r>
        <w:fldChar w:fldCharType="separate"/>
      </w:r>
      <w:r>
        <w:rPr>
          <w:rStyle w:val="Internetverknpfung"/>
        </w:rPr>
        <w:t>http://www.sindelfingen.de</w:t>
      </w:r>
      <w:r>
        <w:rPr>
          <w:rStyle w:val="Internetverknpfung"/>
        </w:rPr>
        <w:fldChar w:fldCharType="end"/>
      </w:r>
      <w:bookmarkEnd w:id="0"/>
      <w:r>
        <w:t>)  und der Gemeinde Magstadt (</w:t>
      </w:r>
      <w:hyperlink r:id="rId4" w:history="1">
        <w:r w:rsidRPr="00593C76">
          <w:rPr>
            <w:rStyle w:val="Hyperlink"/>
          </w:rPr>
          <w:t>http://www.magstadt.de</w:t>
        </w:r>
      </w:hyperlink>
      <w:r>
        <w:rPr>
          <w:rStyle w:val="Internetverknpfung"/>
        </w:rPr>
        <w:t xml:space="preserve">) </w:t>
      </w:r>
      <w:r>
        <w:t>veröffentlicht.  Die Bodenrichtwerte können außerdem im landesweiten Portal Boris BW (</w:t>
      </w:r>
      <w:hyperlink r:id="rId5">
        <w:r>
          <w:rPr>
            <w:rStyle w:val="Internetverknpfung"/>
          </w:rPr>
          <w:t>https://www.gutachterausschuesse-bw.de/borisbw/?lang=de</w:t>
        </w:r>
      </w:hyperlink>
      <w:r>
        <w:t xml:space="preserve">) und im Sindelfinger Geoportal komfortabel mit Zoom- und Suchfunktionen eingesehen werden. Der Grundstücksmarktbericht mit Bodenrichtwertkarte kann demnächst auch in gedruckter Form käuflich beim Servicepunkt (Rathaus im Erdgeschoss) erworben werden. </w:t>
      </w:r>
    </w:p>
    <w:p w:rsidR="00C5420F" w:rsidRDefault="00C5420F" w:rsidP="00C5420F">
      <w:pPr>
        <w:tabs>
          <w:tab w:val="right" w:pos="3969"/>
          <w:tab w:val="right" w:pos="6237"/>
          <w:tab w:val="right" w:pos="8505"/>
        </w:tabs>
        <w:ind w:left="720" w:hanging="720"/>
      </w:pPr>
    </w:p>
    <w:p w:rsidR="00C5420F" w:rsidRDefault="00C5420F" w:rsidP="00C5420F">
      <w:pPr>
        <w:tabs>
          <w:tab w:val="right" w:pos="3969"/>
          <w:tab w:val="right" w:pos="6237"/>
          <w:tab w:val="right" w:pos="8505"/>
        </w:tabs>
        <w:ind w:left="720" w:hanging="720"/>
      </w:pPr>
      <w:r>
        <w:t>26.06.2024</w:t>
      </w:r>
    </w:p>
    <w:p w:rsidR="00C5420F" w:rsidRDefault="00C5420F" w:rsidP="00C5420F">
      <w:pPr>
        <w:tabs>
          <w:tab w:val="right" w:pos="3969"/>
          <w:tab w:val="right" w:pos="6237"/>
          <w:tab w:val="right" w:pos="8505"/>
        </w:tabs>
        <w:ind w:left="720" w:hanging="720"/>
      </w:pPr>
      <w:r>
        <w:t>Geschäftsstelle des Gutachterausschusses</w:t>
      </w:r>
    </w:p>
    <w:p w:rsidR="001D5FFB" w:rsidRDefault="001D5FFB">
      <w:bookmarkStart w:id="1" w:name="_GoBack"/>
      <w:bookmarkEnd w:id="1"/>
    </w:p>
    <w:sectPr w:rsidR="001D5FF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20F"/>
    <w:rsid w:val="001D5FFB"/>
    <w:rsid w:val="001E1605"/>
    <w:rsid w:val="00203F45"/>
    <w:rsid w:val="00421A71"/>
    <w:rsid w:val="004566C6"/>
    <w:rsid w:val="004E0A6F"/>
    <w:rsid w:val="007B1367"/>
    <w:rsid w:val="00AB300E"/>
    <w:rsid w:val="00AD14C8"/>
    <w:rsid w:val="00AD6808"/>
    <w:rsid w:val="00C5420F"/>
    <w:rsid w:val="00CF06D2"/>
    <w:rsid w:val="00D74DF3"/>
    <w:rsid w:val="00D74F59"/>
    <w:rsid w:val="00DB44A0"/>
    <w:rsid w:val="00E9464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C3AEA6-2A1F-4617-B24A-25A1C331A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5420F"/>
    <w:pPr>
      <w:spacing w:after="0" w:line="240" w:lineRule="auto"/>
    </w:pPr>
    <w:rPr>
      <w:rFonts w:eastAsia="Times New Roman" w:cs="Times New Roman"/>
      <w:szCs w:val="20"/>
      <w:lang w:eastAsia="de-DE"/>
    </w:rPr>
  </w:style>
  <w:style w:type="paragraph" w:styleId="berschrift1">
    <w:name w:val="heading 1"/>
    <w:basedOn w:val="Standard"/>
    <w:next w:val="Standard"/>
    <w:link w:val="berschrift1Zchn"/>
    <w:uiPriority w:val="9"/>
    <w:qFormat/>
    <w:rsid w:val="001E16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E1605"/>
    <w:rPr>
      <w:rFonts w:asciiTheme="majorHAnsi" w:eastAsiaTheme="majorEastAsia" w:hAnsiTheme="majorHAnsi" w:cstheme="majorBidi"/>
      <w:b/>
      <w:bCs/>
      <w:color w:val="365F91" w:themeColor="accent1" w:themeShade="BF"/>
      <w:sz w:val="28"/>
      <w:szCs w:val="28"/>
    </w:rPr>
  </w:style>
  <w:style w:type="character" w:customStyle="1" w:styleId="Internetverknpfung">
    <w:name w:val="Internetverknüpfung"/>
    <w:basedOn w:val="Absatz-Standardschriftart"/>
    <w:rsid w:val="00C5420F"/>
    <w:rPr>
      <w:color w:val="0000FF"/>
      <w:u w:val="single"/>
    </w:rPr>
  </w:style>
  <w:style w:type="table" w:styleId="Tabellenraster">
    <w:name w:val="Table Grid"/>
    <w:basedOn w:val="NormaleTabelle"/>
    <w:rsid w:val="00C5420F"/>
    <w:pPr>
      <w:suppressAutoHyphens/>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542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utachterausschuesse-bw.de/borisbw/?lang=de" TargetMode="External"/><Relationship Id="rId4" Type="http://schemas.openxmlformats.org/officeDocument/2006/relationships/hyperlink" Target="http://www.magstadt.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2395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Stadtverwaltung Sindelfingen</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Lutz, Christoph</dc:creator>
  <cp:keywords/>
  <dc:description/>
  <cp:lastModifiedBy>Lutz, Christoph</cp:lastModifiedBy>
  <cp:revision>1</cp:revision>
  <dcterms:created xsi:type="dcterms:W3CDTF">2024-06-27T07:50:00Z</dcterms:created>
  <dcterms:modified xsi:type="dcterms:W3CDTF">2024-06-27T07:51:00Z</dcterms:modified>
</cp:coreProperties>
</file>